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0A" w:rsidRDefault="0049510A" w:rsidP="0049510A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  <w:r w:rsidRPr="0049510A"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  <w:t>Que</w:t>
      </w:r>
      <w:bookmarkStart w:id="0" w:name="_GoBack"/>
      <w:bookmarkEnd w:id="0"/>
      <w:r w:rsidRPr="0049510A"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  <w:t>stion:</w:t>
      </w:r>
    </w:p>
    <w:p w:rsidR="00703C29" w:rsidRDefault="00703C29" w:rsidP="0049510A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</w:p>
    <w:p w:rsidR="00703C29" w:rsidRPr="00703C29" w:rsidRDefault="00703C29" w:rsidP="00703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relation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to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two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questions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eState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Aid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WIKI (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LV (12.04.2016)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EE (17.11.2016)),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connection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to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interpretation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lecturer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RDI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Training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held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20.10.2017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Brussels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Belgium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by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DG COMP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DG REGIO,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could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you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please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confirm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03C29" w:rsidRPr="00703C29" w:rsidRDefault="00703C29" w:rsidP="00703C29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have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following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hypothetic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case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03C29" w:rsidRPr="00703C29" w:rsidRDefault="00703C29" w:rsidP="00703C29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A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large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enterprise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received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hoc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financing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building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 RDI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infrastructure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under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RDI Framework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which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represents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aid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scenario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meeting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criteria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that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infrastructure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used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almost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exclusively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non-economic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activities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since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economic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activities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does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not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exceed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20 %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its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relevant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overall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annual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capacity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first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two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years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economic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activity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below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20 %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threshold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third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year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exploitation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RDI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infrastructure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economic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activities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are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34 %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infrastructure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yearly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capacity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03C29" w:rsidRPr="00703C29" w:rsidRDefault="00703C29" w:rsidP="00703C29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According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to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interpretation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answer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to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LV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question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eState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Aid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WIKI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from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12.04.2016,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which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was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answered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by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Commission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25.05.2016, a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claw-back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mechanism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can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used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under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Art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26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GBER.  </w:t>
      </w:r>
    </w:p>
    <w:p w:rsidR="00703C29" w:rsidRPr="00703C29" w:rsidRDefault="00703C29" w:rsidP="00703C29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would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like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to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advised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following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03C29" w:rsidRPr="00703C29" w:rsidRDefault="00703C29" w:rsidP="00703C2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Could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measure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accepted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compatible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with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GBER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conditions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“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formal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incentive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effect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not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met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reporting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criteria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Article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 (a)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GBER,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which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says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that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measure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should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reported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SANI 2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within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working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days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following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its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entry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into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force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also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not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met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?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Could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still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use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such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claw-back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mechanism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under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GBER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when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practice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not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possible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to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meet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ex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ante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all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these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conditions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GBER?</w:t>
      </w:r>
      <w:proofErr w:type="spellEnd"/>
    </w:p>
    <w:p w:rsidR="00703C29" w:rsidRPr="00703C29" w:rsidRDefault="00703C29" w:rsidP="00703C2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case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want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to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use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claw-back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mechanism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under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RDI Framework,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could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you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please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confirm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whether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following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example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from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above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whole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financing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should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returned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back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with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interest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will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considered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incompatible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state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aid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since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was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granting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under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condition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that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economic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activities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will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not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exceed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20 %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threshold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this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condition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subsequently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not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met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)?</w:t>
      </w:r>
    </w:p>
    <w:p w:rsidR="002105B5" w:rsidRPr="00703C29" w:rsidRDefault="00703C29" w:rsidP="00703C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instead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can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claw-back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annual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tranche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use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capital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invested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only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year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which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20 %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threshold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exceeded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because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could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considered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that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exceed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identified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by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controlling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body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which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disbursed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financing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part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its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public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obligations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context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claw-back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mechanism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established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?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this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case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could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you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please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confirm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that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whole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amount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this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year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should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returned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with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interest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?</w:t>
      </w:r>
    </w:p>
    <w:p w:rsidR="00703C29" w:rsidRPr="002105B5" w:rsidRDefault="00703C29" w:rsidP="00703C29">
      <w:pPr>
        <w:jc w:val="both"/>
        <w:rPr>
          <w:lang w:val="en-US"/>
        </w:rPr>
      </w:pPr>
    </w:p>
    <w:p w:rsidR="0049510A" w:rsidRPr="0049510A" w:rsidRDefault="0049510A" w:rsidP="0049510A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</w:pPr>
      <w:proofErr w:type="spellStart"/>
      <w:r w:rsidRPr="0049510A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Reply</w:t>
      </w:r>
      <w:proofErr w:type="spellEnd"/>
      <w:r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:</w:t>
      </w:r>
    </w:p>
    <w:p w:rsidR="00703C29" w:rsidRPr="00703C29" w:rsidRDefault="00703C29" w:rsidP="00703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general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remark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when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funding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provided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to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 RO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Research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infrastructure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that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carries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out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both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economic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non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economic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activities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there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needs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to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clear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separation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accounts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03C29" w:rsidRPr="00703C29" w:rsidRDefault="00703C29" w:rsidP="00703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</w:t>
      </w:r>
    </w:p>
    <w:p w:rsidR="00703C29" w:rsidRPr="00703C29" w:rsidRDefault="00703C29" w:rsidP="00703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MS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can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apply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claw-back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mechanism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foreseen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by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Article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26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GBER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to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infrastructure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which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ex-post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exceeds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20%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ancilliarity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threshold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your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example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3ed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year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operation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to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extent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that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eligible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amount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support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fulfills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eligibility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conditions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specified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by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that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article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this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scenario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accepted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that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incentive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effect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support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was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not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assessed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moment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support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was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granted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due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to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assumed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that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time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non-economic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character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research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infrastructure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resulting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initial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no-aid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qualification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public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support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general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requirements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covered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by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Chapter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GBER  -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that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are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applicable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to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individual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aid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awards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only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come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into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force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year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where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public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support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research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infrastructure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re-qualified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from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no-aid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to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State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aid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Member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States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must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however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also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ensure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that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national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legal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basis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exists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which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implemented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line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with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relevant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GBER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requirements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sets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out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conditions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Article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26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GBER 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basis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which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claw-back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can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carried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out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. </w:t>
      </w:r>
    </w:p>
    <w:p w:rsidR="00703C29" w:rsidRPr="00703C29" w:rsidRDefault="00703C29" w:rsidP="00703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(2)</w:t>
      </w:r>
    </w:p>
    <w:p w:rsidR="00703C29" w:rsidRPr="00703C29" w:rsidRDefault="00703C29" w:rsidP="00703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already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clarified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by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Commission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funding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has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to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clawed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back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annual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basis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if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monitoring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carried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out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by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granting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authority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shows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that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economic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activity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exceeds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20%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given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year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not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necessary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to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return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whole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financing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initially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granted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infrastructure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However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given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year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where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20%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threshold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exceeded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whole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share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public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funding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used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economic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activity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has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to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recovered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not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only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share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exceeding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20%.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possible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that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successive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years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20%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threshold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again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respected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therefore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there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need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to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apply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claw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back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mechanism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those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years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but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just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year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(s)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which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20%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threshold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exceeded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). </w:t>
      </w:r>
    </w:p>
    <w:p w:rsidR="00703C29" w:rsidRDefault="00703C29" w:rsidP="00703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confirm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that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amount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to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clawed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back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needs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to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be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repaid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with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interest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line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with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requirements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set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down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Article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9, 10, 22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Implementing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>Regulation</w:t>
      </w:r>
      <w:proofErr w:type="spellEnd"/>
      <w:r w:rsidRPr="00703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794/2004.</w:t>
      </w:r>
    </w:p>
    <w:p w:rsidR="0049510A" w:rsidRPr="0049510A" w:rsidRDefault="002105B5" w:rsidP="002105B5">
      <w:pPr>
        <w:jc w:val="both"/>
        <w:rPr>
          <w:lang w:val="en-US"/>
        </w:rPr>
      </w:pPr>
      <w:proofErr w:type="spellStart"/>
      <w:r>
        <w:rPr>
          <w:rStyle w:val="Emphasis"/>
          <w:rFonts w:ascii="Helvetica" w:hAnsi="Helvetica" w:cs="Helvetica"/>
          <w:color w:val="333333"/>
        </w:rPr>
        <w:t>Disclaimer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: </w:t>
      </w:r>
      <w:proofErr w:type="spellStart"/>
      <w:r>
        <w:rPr>
          <w:rStyle w:val="Emphasis"/>
          <w:rFonts w:ascii="Helvetica" w:hAnsi="Helvetica" w:cs="Helvetica"/>
          <w:color w:val="333333"/>
        </w:rPr>
        <w:t>This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reply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does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not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represent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a </w:t>
      </w:r>
      <w:proofErr w:type="spellStart"/>
      <w:r>
        <w:rPr>
          <w:rStyle w:val="Emphasis"/>
          <w:rFonts w:ascii="Helvetica" w:hAnsi="Helvetica" w:cs="Helvetica"/>
          <w:color w:val="333333"/>
        </w:rPr>
        <w:t>formal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and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definite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position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of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European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Commission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but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is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only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an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informal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guidance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provided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by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services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of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DG </w:t>
      </w:r>
      <w:proofErr w:type="spellStart"/>
      <w:r>
        <w:rPr>
          <w:rStyle w:val="Emphasis"/>
          <w:rFonts w:ascii="Helvetica" w:hAnsi="Helvetica" w:cs="Helvetica"/>
          <w:color w:val="333333"/>
        </w:rPr>
        <w:t>Competition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to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facilitate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application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of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GBER. </w:t>
      </w:r>
      <w:proofErr w:type="spellStart"/>
      <w:r>
        <w:rPr>
          <w:rStyle w:val="Emphasis"/>
          <w:rFonts w:ascii="Helvetica" w:hAnsi="Helvetica" w:cs="Helvetica"/>
          <w:color w:val="333333"/>
        </w:rPr>
        <w:t>It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is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therefore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not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binding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and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cannot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create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legal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certainty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or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legitimate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expectations</w:t>
      </w:r>
      <w:proofErr w:type="spellEnd"/>
      <w:r>
        <w:rPr>
          <w:rStyle w:val="Emphasis"/>
          <w:rFonts w:ascii="Helvetica" w:hAnsi="Helvetica" w:cs="Helvetica"/>
          <w:color w:val="333333"/>
        </w:rPr>
        <w:t>.</w:t>
      </w:r>
    </w:p>
    <w:sectPr w:rsidR="0049510A" w:rsidRPr="0049510A" w:rsidSect="00721E91">
      <w:pgSz w:w="11906" w:h="16838"/>
      <w:pgMar w:top="568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25CCF"/>
    <w:multiLevelType w:val="multilevel"/>
    <w:tmpl w:val="9048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9D"/>
    <w:rsid w:val="000F6CFD"/>
    <w:rsid w:val="002105B5"/>
    <w:rsid w:val="00221E3F"/>
    <w:rsid w:val="0049510A"/>
    <w:rsid w:val="00517436"/>
    <w:rsid w:val="005314FC"/>
    <w:rsid w:val="00593E86"/>
    <w:rsid w:val="005C3602"/>
    <w:rsid w:val="0064124D"/>
    <w:rsid w:val="00703C29"/>
    <w:rsid w:val="00721E91"/>
    <w:rsid w:val="007E2E7E"/>
    <w:rsid w:val="00911B9D"/>
    <w:rsid w:val="0091503B"/>
    <w:rsid w:val="00AC2A6A"/>
    <w:rsid w:val="00AF5460"/>
    <w:rsid w:val="00CA04BA"/>
    <w:rsid w:val="00D24972"/>
    <w:rsid w:val="00D45754"/>
    <w:rsid w:val="00D53A42"/>
    <w:rsid w:val="00D73809"/>
    <w:rsid w:val="00DC4A07"/>
    <w:rsid w:val="00E93701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319E"/>
  <w15:docId w15:val="{9608A767-655C-4BA1-9F5D-1A1DB9CD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10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49510A"/>
    <w:rPr>
      <w:i/>
      <w:iCs/>
    </w:rPr>
  </w:style>
  <w:style w:type="character" w:customStyle="1" w:styleId="expand-control-text">
    <w:name w:val="expand-control-text"/>
    <w:basedOn w:val="DefaultParagraphFont"/>
    <w:rsid w:val="0049510A"/>
  </w:style>
  <w:style w:type="character" w:customStyle="1" w:styleId="diff-html-added">
    <w:name w:val="diff-html-added"/>
    <w:basedOn w:val="DefaultParagraphFont"/>
    <w:rsid w:val="002105B5"/>
  </w:style>
  <w:style w:type="character" w:styleId="Strong">
    <w:name w:val="Strong"/>
    <w:basedOn w:val="DefaultParagraphFont"/>
    <w:uiPriority w:val="22"/>
    <w:qFormat/>
    <w:rsid w:val="00703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3306">
                      <w:marLeft w:val="4275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3063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35961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0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0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8161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16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27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437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49450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46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7362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86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1125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27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04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72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681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972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4302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2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053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16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5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1917">
                      <w:marLeft w:val="4275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7944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1272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9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38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4675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72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87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11</cp:revision>
  <dcterms:created xsi:type="dcterms:W3CDTF">2016-07-19T14:46:00Z</dcterms:created>
  <dcterms:modified xsi:type="dcterms:W3CDTF">2019-03-18T15:04:00Z</dcterms:modified>
</cp:coreProperties>
</file>